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F8A53" w14:textId="0E86851A" w:rsidR="002D1F3E" w:rsidRPr="00A07D34" w:rsidRDefault="002D1F3E" w:rsidP="002D1F3E">
      <w:pPr>
        <w:spacing w:line="480" w:lineRule="auto"/>
        <w:rPr>
          <w:rFonts w:ascii="Times New Roman" w:eastAsiaTheme="minorHAnsi" w:hAnsi="Times New Roman" w:cs="Times New Roman"/>
        </w:rPr>
      </w:pPr>
      <w:r w:rsidRPr="00A07D34">
        <w:rPr>
          <w:rFonts w:ascii="Times New Roman" w:eastAsiaTheme="minorHAnsi" w:hAnsi="Times New Roman" w:cs="Times New Roman"/>
        </w:rPr>
        <w:t>Supplementary Table S</w:t>
      </w:r>
      <w:r w:rsidRPr="00A07D34">
        <w:rPr>
          <w:rFonts w:ascii="Times New Roman" w:eastAsiaTheme="minorHAnsi" w:hAnsi="Times New Roman" w:cs="Times New Roman"/>
        </w:rPr>
        <w:t>4</w:t>
      </w:r>
      <w:r w:rsidRPr="00A07D34">
        <w:rPr>
          <w:rFonts w:ascii="Times New Roman" w:eastAsiaTheme="minorHAnsi" w:hAnsi="Times New Roman" w:cs="Times New Roman"/>
        </w:rPr>
        <w:t>. Year-specific adjusted associations between indemnity-type private insurance and medical expenditures, 2020–2023</w:t>
      </w:r>
    </w:p>
    <w:tbl>
      <w:tblPr>
        <w:tblStyle w:val="a3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96"/>
        <w:gridCol w:w="2608"/>
        <w:gridCol w:w="2608"/>
        <w:gridCol w:w="2608"/>
      </w:tblGrid>
      <w:tr w:rsidR="002D1F3E" w:rsidRPr="00A07D34" w14:paraId="66EB991E" w14:textId="77777777" w:rsidTr="00A07D34"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27943C6B" w14:textId="22EE30FC" w:rsidR="002D1F3E" w:rsidRPr="00A07D34" w:rsidRDefault="002D1F3E" w:rsidP="00A07D34">
            <w:pPr>
              <w:spacing w:line="48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center"/>
          </w:tcPr>
          <w:p w14:paraId="7CDEA7D0" w14:textId="67B15C76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vAlign w:val="center"/>
          </w:tcPr>
          <w:p w14:paraId="04D8D9B1" w14:textId="1A350AE3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vAlign w:val="center"/>
          </w:tcPr>
          <w:p w14:paraId="0E2409FC" w14:textId="7FEF6F24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vAlign w:val="center"/>
          </w:tcPr>
          <w:p w14:paraId="179FC23F" w14:textId="1F87BFA0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2023</w:t>
            </w:r>
          </w:p>
        </w:tc>
      </w:tr>
      <w:tr w:rsidR="002D1F3E" w:rsidRPr="00A07D34" w14:paraId="6771D4B7" w14:textId="77777777" w:rsidTr="00A07D34">
        <w:tc>
          <w:tcPr>
            <w:tcW w:w="1087" w:type="pct"/>
            <w:tcBorders>
              <w:bottom w:val="nil"/>
            </w:tcBorders>
            <w:vAlign w:val="center"/>
          </w:tcPr>
          <w:p w14:paraId="775DF082" w14:textId="588442E7" w:rsidR="007A2BA1" w:rsidRPr="00A07D34" w:rsidRDefault="002D1F3E" w:rsidP="00A07D34">
            <w:pPr>
              <w:spacing w:line="480" w:lineRule="auto"/>
              <w:ind w:left="200" w:hangingChars="100" w:hanging="200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Emergency expenditure</w:t>
            </w:r>
          </w:p>
        </w:tc>
        <w:tc>
          <w:tcPr>
            <w:tcW w:w="1057" w:type="pct"/>
            <w:tcBorders>
              <w:bottom w:val="nil"/>
            </w:tcBorders>
            <w:vAlign w:val="center"/>
          </w:tcPr>
          <w:p w14:paraId="245EFBB0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1.052 (0.604–1.833)</w:t>
            </w:r>
          </w:p>
          <w:p w14:paraId="69E0988B" w14:textId="64D4DE08" w:rsidR="002D1F3E" w:rsidRPr="00A07D34" w:rsidRDefault="00A07D34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</w:t>
            </w:r>
            <w:r w:rsidR="002D1F3E"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0.858</w:t>
            </w:r>
          </w:p>
        </w:tc>
        <w:tc>
          <w:tcPr>
            <w:tcW w:w="952" w:type="pct"/>
            <w:tcBorders>
              <w:bottom w:val="nil"/>
            </w:tcBorders>
            <w:vAlign w:val="center"/>
          </w:tcPr>
          <w:p w14:paraId="7207B7D6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3.050 (1.510–6.170)</w:t>
            </w:r>
          </w:p>
          <w:p w14:paraId="68490D4C" w14:textId="40E6D1B4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p=0.002</w:t>
            </w:r>
          </w:p>
        </w:tc>
        <w:tc>
          <w:tcPr>
            <w:tcW w:w="952" w:type="pct"/>
            <w:tcBorders>
              <w:bottom w:val="nil"/>
            </w:tcBorders>
            <w:vAlign w:val="center"/>
          </w:tcPr>
          <w:p w14:paraId="7A0E9677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1.210 (0.660–2.230)</w:t>
            </w:r>
          </w:p>
          <w:p w14:paraId="558FFFAA" w14:textId="61C5BDC8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p=0.542</w:t>
            </w:r>
          </w:p>
        </w:tc>
        <w:tc>
          <w:tcPr>
            <w:tcW w:w="952" w:type="pct"/>
            <w:tcBorders>
              <w:bottom w:val="nil"/>
            </w:tcBorders>
            <w:vAlign w:val="center"/>
          </w:tcPr>
          <w:p w14:paraId="5FF2EB00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0.820 (0.440–1.540)</w:t>
            </w:r>
          </w:p>
          <w:p w14:paraId="104FFB8C" w14:textId="69F465D1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p=0.545</w:t>
            </w:r>
          </w:p>
        </w:tc>
      </w:tr>
      <w:tr w:rsidR="002D1F3E" w:rsidRPr="00A07D34" w14:paraId="052333E3" w14:textId="77777777" w:rsidTr="00A07D34">
        <w:tc>
          <w:tcPr>
            <w:tcW w:w="1087" w:type="pct"/>
            <w:tcBorders>
              <w:top w:val="nil"/>
              <w:bottom w:val="nil"/>
            </w:tcBorders>
            <w:vAlign w:val="center"/>
          </w:tcPr>
          <w:p w14:paraId="14FA6CCA" w14:textId="1F5B1D60" w:rsidR="002D1F3E" w:rsidRPr="00A07D34" w:rsidRDefault="002D1F3E" w:rsidP="00A07D34">
            <w:pPr>
              <w:spacing w:line="48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Inpatient expenditure</w:t>
            </w:r>
          </w:p>
        </w:tc>
        <w:tc>
          <w:tcPr>
            <w:tcW w:w="1057" w:type="pct"/>
            <w:tcBorders>
              <w:top w:val="nil"/>
              <w:bottom w:val="nil"/>
            </w:tcBorders>
            <w:vAlign w:val="center"/>
          </w:tcPr>
          <w:p w14:paraId="724D3ED2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1.472 (0.907–2.390)</w:t>
            </w:r>
          </w:p>
          <w:p w14:paraId="662C41F8" w14:textId="0A9431F5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p=0.118</w:t>
            </w:r>
          </w:p>
        </w:tc>
        <w:tc>
          <w:tcPr>
            <w:tcW w:w="952" w:type="pct"/>
            <w:tcBorders>
              <w:top w:val="nil"/>
              <w:bottom w:val="nil"/>
            </w:tcBorders>
            <w:vAlign w:val="center"/>
          </w:tcPr>
          <w:p w14:paraId="4532912B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1.930 (1.120–3.330)</w:t>
            </w:r>
          </w:p>
          <w:p w14:paraId="4AEBB6F6" w14:textId="2049AB05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p=0.019</w:t>
            </w:r>
          </w:p>
        </w:tc>
        <w:tc>
          <w:tcPr>
            <w:tcW w:w="952" w:type="pct"/>
            <w:tcBorders>
              <w:top w:val="nil"/>
              <w:bottom w:val="nil"/>
            </w:tcBorders>
            <w:vAlign w:val="center"/>
          </w:tcPr>
          <w:p w14:paraId="0AED4C66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2.220 (1.220–4.050)</w:t>
            </w:r>
          </w:p>
          <w:p w14:paraId="4FD6DC79" w14:textId="18CCFC07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p=0.009</w:t>
            </w:r>
          </w:p>
        </w:tc>
        <w:tc>
          <w:tcPr>
            <w:tcW w:w="952" w:type="pct"/>
            <w:tcBorders>
              <w:top w:val="nil"/>
              <w:bottom w:val="nil"/>
            </w:tcBorders>
            <w:vAlign w:val="center"/>
          </w:tcPr>
          <w:p w14:paraId="5C91C0A7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2.890 (1.470–5.720)</w:t>
            </w:r>
          </w:p>
          <w:p w14:paraId="00D4F763" w14:textId="581945A5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p=0.002</w:t>
            </w:r>
          </w:p>
        </w:tc>
      </w:tr>
      <w:tr w:rsidR="002D1F3E" w:rsidRPr="00A07D34" w14:paraId="637E0A9F" w14:textId="77777777" w:rsidTr="00A07D34">
        <w:tc>
          <w:tcPr>
            <w:tcW w:w="1087" w:type="pct"/>
            <w:tcBorders>
              <w:top w:val="nil"/>
              <w:bottom w:val="nil"/>
            </w:tcBorders>
            <w:vAlign w:val="center"/>
          </w:tcPr>
          <w:p w14:paraId="328A314E" w14:textId="2C82237C" w:rsidR="002D1F3E" w:rsidRPr="00A07D34" w:rsidRDefault="002D1F3E" w:rsidP="00A07D34">
            <w:pPr>
              <w:spacing w:line="48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Outpatient expenditure</w:t>
            </w:r>
          </w:p>
        </w:tc>
        <w:tc>
          <w:tcPr>
            <w:tcW w:w="1057" w:type="pct"/>
            <w:tcBorders>
              <w:top w:val="nil"/>
              <w:bottom w:val="nil"/>
            </w:tcBorders>
            <w:vAlign w:val="center"/>
          </w:tcPr>
          <w:p w14:paraId="41238947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1.331 (1.104–1.603)</w:t>
            </w:r>
          </w:p>
          <w:p w14:paraId="7A925841" w14:textId="269F1CE0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p=0.003</w:t>
            </w:r>
          </w:p>
        </w:tc>
        <w:tc>
          <w:tcPr>
            <w:tcW w:w="952" w:type="pct"/>
            <w:tcBorders>
              <w:top w:val="nil"/>
              <w:bottom w:val="nil"/>
            </w:tcBorders>
            <w:vAlign w:val="center"/>
          </w:tcPr>
          <w:p w14:paraId="19E898E2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1.190 (1.000–1.420)</w:t>
            </w:r>
          </w:p>
          <w:p w14:paraId="5B50AB23" w14:textId="704B7586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p=0.046</w:t>
            </w:r>
          </w:p>
        </w:tc>
        <w:tc>
          <w:tcPr>
            <w:tcW w:w="952" w:type="pct"/>
            <w:tcBorders>
              <w:top w:val="nil"/>
              <w:bottom w:val="nil"/>
            </w:tcBorders>
            <w:vAlign w:val="center"/>
          </w:tcPr>
          <w:p w14:paraId="21E996A1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1.220 (1.000–1.470)</w:t>
            </w:r>
          </w:p>
          <w:p w14:paraId="40C24724" w14:textId="64D030B6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p=0.047</w:t>
            </w:r>
          </w:p>
        </w:tc>
        <w:tc>
          <w:tcPr>
            <w:tcW w:w="952" w:type="pct"/>
            <w:tcBorders>
              <w:top w:val="nil"/>
              <w:bottom w:val="nil"/>
            </w:tcBorders>
            <w:vAlign w:val="center"/>
          </w:tcPr>
          <w:p w14:paraId="3B67660F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1.350 (1.100–1.650)</w:t>
            </w:r>
          </w:p>
          <w:p w14:paraId="782FF95B" w14:textId="6945F225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p=0.004</w:t>
            </w:r>
          </w:p>
        </w:tc>
      </w:tr>
      <w:tr w:rsidR="002D1F3E" w:rsidRPr="00A07D34" w14:paraId="1D4E7D96" w14:textId="77777777" w:rsidTr="00A07D34">
        <w:tc>
          <w:tcPr>
            <w:tcW w:w="1087" w:type="pct"/>
            <w:tcBorders>
              <w:top w:val="nil"/>
            </w:tcBorders>
            <w:vAlign w:val="center"/>
          </w:tcPr>
          <w:p w14:paraId="756A6B9F" w14:textId="01BD9B5C" w:rsidR="002D1F3E" w:rsidRPr="00A07D34" w:rsidRDefault="002D1F3E" w:rsidP="00A07D34">
            <w:pPr>
              <w:spacing w:line="48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Total medical expenditure</w:t>
            </w:r>
          </w:p>
        </w:tc>
        <w:tc>
          <w:tcPr>
            <w:tcW w:w="1057" w:type="pct"/>
            <w:tcBorders>
              <w:top w:val="nil"/>
            </w:tcBorders>
            <w:vAlign w:val="center"/>
          </w:tcPr>
          <w:p w14:paraId="79BD68F7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1.390 (1.151–1.680)</w:t>
            </w:r>
          </w:p>
          <w:p w14:paraId="0EAFA841" w14:textId="3AE4E1F6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p=0.001</w:t>
            </w:r>
          </w:p>
        </w:tc>
        <w:tc>
          <w:tcPr>
            <w:tcW w:w="952" w:type="pct"/>
            <w:tcBorders>
              <w:top w:val="nil"/>
            </w:tcBorders>
            <w:vAlign w:val="center"/>
          </w:tcPr>
          <w:p w14:paraId="74A62F7C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1.340 (1.090–1.650)</w:t>
            </w:r>
          </w:p>
          <w:p w14:paraId="03D671E6" w14:textId="0EA1EA4C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p=0.005</w:t>
            </w:r>
          </w:p>
        </w:tc>
        <w:tc>
          <w:tcPr>
            <w:tcW w:w="952" w:type="pct"/>
            <w:tcBorders>
              <w:top w:val="nil"/>
            </w:tcBorders>
            <w:vAlign w:val="center"/>
          </w:tcPr>
          <w:p w14:paraId="07F948A3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1.310 (1.070–1.610)</w:t>
            </w:r>
          </w:p>
          <w:p w14:paraId="54DC4571" w14:textId="40AB556F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p=0.008</w:t>
            </w:r>
          </w:p>
        </w:tc>
        <w:tc>
          <w:tcPr>
            <w:tcW w:w="952" w:type="pct"/>
            <w:tcBorders>
              <w:top w:val="nil"/>
            </w:tcBorders>
            <w:vAlign w:val="center"/>
          </w:tcPr>
          <w:p w14:paraId="097ECC6D" w14:textId="77777777" w:rsidR="00A07D34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1.500 (1.210–1.870)</w:t>
            </w:r>
          </w:p>
          <w:p w14:paraId="2160E56E" w14:textId="08C505DE" w:rsidR="002D1F3E" w:rsidRPr="00A07D34" w:rsidRDefault="002D1F3E" w:rsidP="00A07D34">
            <w:pPr>
              <w:spacing w:line="48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A07D34">
              <w:rPr>
                <w:rFonts w:ascii="Times New Roman" w:eastAsiaTheme="minorHAnsi" w:hAnsi="Times New Roman" w:cs="Times New Roman"/>
                <w:sz w:val="20"/>
                <w:szCs w:val="20"/>
              </w:rPr>
              <w:t>p=0.001</w:t>
            </w:r>
          </w:p>
        </w:tc>
      </w:tr>
    </w:tbl>
    <w:p w14:paraId="0822289E" w14:textId="0A3EE229" w:rsidR="002E267D" w:rsidRPr="00A07D34" w:rsidRDefault="00A07D34">
      <w:pPr>
        <w:rPr>
          <w:rFonts w:ascii="Times New Roman" w:hAnsi="Times New Roman" w:cs="Times New Roman"/>
        </w:rPr>
      </w:pPr>
      <w:r w:rsidRPr="00A07D34">
        <w:rPr>
          <w:rFonts w:ascii="Times New Roman" w:hAnsi="Times New Roman" w:cs="Times New Roman"/>
        </w:rPr>
        <w:t>Values are adjusted cost ratios with 95% confidence intervals. Fixed-benefit private insurance was used as the reference group.</w:t>
      </w:r>
    </w:p>
    <w:sectPr w:rsidR="002E267D" w:rsidRPr="00A07D34" w:rsidSect="002D1F3E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F3E"/>
    <w:rsid w:val="0013422B"/>
    <w:rsid w:val="002D1F3E"/>
    <w:rsid w:val="002E267D"/>
    <w:rsid w:val="007A2BA1"/>
    <w:rsid w:val="00A0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49025"/>
  <w15:chartTrackingRefBased/>
  <w15:docId w15:val="{81252FEA-D8B3-4316-854D-BCAC9558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F3E"/>
    <w:pPr>
      <w:jc w:val="left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1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Hongki Gwak</dc:creator>
  <cp:keywords/>
  <dc:description/>
  <cp:lastModifiedBy>Hongki Gwak</cp:lastModifiedBy>
  <cp:revision>2</cp:revision>
  <dcterms:created xsi:type="dcterms:W3CDTF">2026-06-02T05:24:00Z</dcterms:created>
  <dcterms:modified xsi:type="dcterms:W3CDTF">2026-06-02T08:15:00Z</dcterms:modified>
</cp:coreProperties>
</file>